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95</w:t>
      </w:r>
    </w:p>
    <w:p>
      <w:r>
        <w:t>Bundesgericht (BGE), 1972-01-19, DE</w:t>
      </w:r>
    </w:p>
    <w:p>
      <w:r>
        <w:rPr>
          <w:b/>
        </w:rPr>
        <w:t xml:space="preserve">Quelle: </w:t>
      </w:r>
      <w:r>
        <w:t>https://mcp.opencaselaw.ch/entscheid/bge_98 V 95</w:t>
      </w:r>
    </w:p>
    <w:p>
      <w:r>
        <w:t>FR: ATF 98 V 95</w:t>
      </w:r>
    </w:p>
    <w:p>
      <w:r>
        <w:t>IT: DTF 98 V 95</w:t>
      </w:r>
    </w:p>
    <w:p>
      <w:pPr>
        <w:pStyle w:val="Heading2"/>
      </w:pPr>
      <w:r>
        <w:t>Regeste</w:t>
      </w:r>
    </w:p>
    <w:p>
      <w:r>
        <w:t>Regeste Art. 12 IVG und 2 IVV. - Physiotherapie in Lähmungsfällen: Bestätigung und Präzisierung der Praxis. - Alleinige Kompetenz des Bundesrates, Teilgebiete im Bereich der medizmischen Massnahmen gesondert zu ordnen.</w:t>
      </w:r>
    </w:p>
    <w:p>
      <w:pPr>
        <w:pStyle w:val="Heading2"/>
      </w:pPr>
      <w:r>
        <w:t>Erwägungen</w:t>
      </w:r>
    </w:p>
    <w:p>
      <w:r>
        <w:rPr>
          <w:b/>
        </w:rPr>
        <w:t>E. 1</w:t>
      </w:r>
    </w:p>
    <w:p>
      <w:r>
        <w:t>( BGE 97 V 45 Erw. 1). Gestützt auf Art. 12 Abs. 2 IVG steht es dem Bundesrat allerdings zu, nicht nur den Leistungsbeginn, sondern auch die Leistungsdauer bei Lähmungen und andern motorischen Funktionsausfällen vorzuschreiben, was hinsichtlich der medizinischen Massnahmen zur Bewahrung der Erwerbsfähigkeit vor wesentlicher Beeinträchtigung gegebenenfalls zur Preisgabe des Grundsatzes führen würde, dass die für die Stabilisierung oder Verhütung labilen Gesundheitsschadens notwendige Therapie zur Behandlung des Leidens an sich gehört. Solange eine derartige positivrechtliche Norm fehlt, besteht für das Eidg. Versicherungsgericht auch heute keine Veranlassung, abweichend von der bisherigen Praxis dauernd stabilisierende medizinische Vorkehren, wie sie beispielsweise infolge von Lähmungen indiziert sein können, zu gewähren. Aus diesen prinzipiellen, vom Gesamtgericht genehmigten Überlegungen kann der vom Bundesamt geäusserten Auffassung, "auch eine etwas weitergehende Praxis lasse sich mit den geltenden gesetzlichen Bestimmungen ... noch vereinbaren", nicht beigepflichtet werden. Im übrigen ist den Darlegungen in der Verwaltungsgerichtsbeschwerde und in der bundesamtlichen Vernehmlassung, welche fortdauernde stabilisierende Massnahmen im Hinblick auf die Bewahrung der Erwerbsfähigkeit in Lähmungsfällen befürworten, generell entgegenzuhalten, dass der Richter nicht befugt ist, Sonderlösungen für Lähmungsfälle zu treffen, soweit dies im Gesetz oder in der Verordnung selber nicht geschieht; denn die Lähmungen sind nur ein Teil im gesamten Komplex der durch BGE 98 V 95 S. 98 Geburtsgebrechen, Krankheit oder Unfall bedingten motorischen Funktionsausfälle.</w:t>
      </w:r>
    </w:p>
    <w:p>
      <w:r>
        <w:rPr>
          <w:b/>
        </w:rPr>
        <w:t>E. 2</w:t>
      </w:r>
    </w:p>
    <w:p>
      <w:r>
        <w:t>... Der medizinische Gutachter, welcher die Auffassung vertritt, "dass feststellbare Verbesserungen der Muskelfunktion sich noch nach vielen Jahren einstellen" können, zweifelt nicht daran, dass sich der Zustand der Beschwerdeführerin durch weitere gezielte physiotherapeutische Behandlung noch verbessern lässt, wenn auch die Geschwindigkeit des Besserungsvorganges nicht voraussehbar ist. Das Vorliegen eines sekundären Krankheitsprozesses wird vom Experten verneint. Daraus ergibt sich, dass das Optimum an physischer Leistungsfähigkeit der Beschwerdeführerin noch nicht erreicht ist. Deshalb rechtfertigt sich die weitere Zusprechung physiotherapeutischer Massnahmen bis zur Herstellung dieses als dauerhaft vorauszusetzenden Zustandes. In diesem Sinne ist die Verwaltungsgerichtsbeschwerde gutzuheissen. Dispositiv Demnach erkennt das Eidg. Versicherungsgericht: In Gutheissung der Verwaltungsgerichtsbeschwerde wird der Entscheid des Verwaltungsgerichts des Kantons Bern vom 21. Dezember 1970, soweit mit ihm Badekuren verweigert werden, aufgehoben und die Invalidenversicherung verpflichtet, der Beschwerdeführerin entsprechend der Kassenverfügung vom 13. Februar 1969 im Sinne der Erwägungen weiterhin physiotherapeutische Massnahmen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